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30"/>
        <w:gridCol w:w="3186"/>
      </w:tblGrid>
      <w:tr w:rsidR="00C72BB7" w:rsidRPr="00866A41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1EB89A72" w:rsidR="00C72BB7" w:rsidRPr="00866A41" w:rsidRDefault="001C6EBD">
            <w:r>
              <w:rPr>
                <w:b/>
              </w:rPr>
              <w:t>Sessão 15: Proteção contra Exploração e Abuso Sexual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866A41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:rsidRPr="00866A41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723F" w14:textId="4F90433D" w:rsidR="007217EB" w:rsidRPr="00866A41" w:rsidRDefault="007217EB" w:rsidP="007217EB">
            <w:r>
              <w:rPr>
                <w:b/>
              </w:rPr>
              <w:t>Nota:</w:t>
            </w:r>
            <w:r>
              <w:t xml:space="preserve"> Esta sessão baseia-se principalmente </w:t>
            </w:r>
            <w:r w:rsidR="002D60BC">
              <w:t>em</w:t>
            </w:r>
            <w:r>
              <w:t xml:space="preserve"> conhecimentos (explicando o que é a proteção contra exploração e abuso sexual (PEAS)</w:t>
            </w:r>
            <w:r w:rsidR="00B25BC4">
              <w:t xml:space="preserve"> e </w:t>
            </w:r>
            <w:r>
              <w:t>fornecendo contexto para a forma como se aplica à ajuda humanitária) e</w:t>
            </w:r>
            <w:r w:rsidR="00B25BC4">
              <w:t xml:space="preserve"> é</w:t>
            </w:r>
            <w:r>
              <w:t xml:space="preserve"> parcialmente orientada para a atitude (aumentando a consciência da importância da PEAS e da denúncia de violações da mesma). Há um mínimo de trabalho </w:t>
            </w:r>
            <w:r w:rsidR="002D60BC">
              <w:t>em termos de competências</w:t>
            </w:r>
            <w:r>
              <w:t>, sob a forma de localização de orientações pertinentes no Manual Esfera. A sessão abrange também o assédio e abuso sexual (AAS), a violência de género (VG), e a importância de criar mecanismos eficazes de denúncia. Inclui:</w:t>
            </w:r>
          </w:p>
          <w:p w14:paraId="599C6715" w14:textId="42B618E4" w:rsidR="00D6040B" w:rsidRPr="00866A41" w:rsidRDefault="007217EB" w:rsidP="00201CD8">
            <w:pPr>
              <w:tabs>
                <w:tab w:val="left" w:pos="270"/>
              </w:tabs>
              <w:ind w:left="270" w:hanging="270"/>
            </w:pPr>
            <w:r>
              <w:t>1.</w:t>
            </w:r>
            <w:r>
              <w:tab/>
              <w:t xml:space="preserve">Uma </w:t>
            </w:r>
            <w:r>
              <w:rPr>
                <w:b/>
                <w:bCs/>
              </w:rPr>
              <w:t>apresentação em PowerPoint</w:t>
            </w:r>
            <w:r>
              <w:t xml:space="preserve"> - com notas do formador na “Vista de Notas”, que explicam os temas-chave nos diapositivos e fornecem instruções para as atividades e a sua avaliação.</w:t>
            </w:r>
          </w:p>
          <w:p w14:paraId="42B5B2DA" w14:textId="2D81096F" w:rsidR="003329CB" w:rsidRPr="00866A41" w:rsidRDefault="00FB66E8" w:rsidP="00433EBD">
            <w:pPr>
              <w:tabs>
                <w:tab w:val="left" w:pos="270"/>
              </w:tabs>
              <w:ind w:left="270" w:hanging="270"/>
            </w:pPr>
            <w:r>
              <w:t>2.</w:t>
            </w:r>
            <w:r>
              <w:tab/>
            </w:r>
            <w:r>
              <w:rPr>
                <w:b/>
              </w:rPr>
              <w:t>Vários exercícios em pequenos grupos</w:t>
            </w:r>
            <w:r>
              <w:t>, incluindo um com um estudo de caso em vídeo, onde os participantes devem localiza</w:t>
            </w:r>
            <w:r w:rsidR="002D60BC">
              <w:t>r</w:t>
            </w:r>
            <w:r>
              <w:t xml:space="preserve"> ações e orientações no Manual Esfera para proteger as pessoas de assédio, exploração, abuso e violência sexuais.</w:t>
            </w:r>
          </w:p>
          <w:p w14:paraId="0E1F9446" w14:textId="66F79255" w:rsidR="003329CB" w:rsidRPr="005E4B2C" w:rsidRDefault="003329CB" w:rsidP="00A249F7">
            <w:pPr>
              <w:ind w:left="247"/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6A40" w14:textId="77777777" w:rsidR="000817F8" w:rsidRPr="005E4B2C" w:rsidRDefault="000817F8" w:rsidP="007217EB"/>
          <w:p w14:paraId="2D811200" w14:textId="42D43169" w:rsidR="007217EB" w:rsidRPr="00866A41" w:rsidRDefault="007217EB" w:rsidP="007217EB">
            <w:r>
              <w:rPr>
                <w:noProof/>
              </w:rPr>
              <w:drawing>
                <wp:inline distT="0" distB="0" distL="0" distR="0" wp14:anchorId="082D8F3D" wp14:editId="7F1E7F8F">
                  <wp:extent cx="1704975" cy="2066925"/>
                  <wp:effectExtent l="0" t="0" r="9525" b="9525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46BDE2A9" w14:textId="77777777" w:rsidR="00D6040B" w:rsidRPr="00866A41" w:rsidRDefault="00D6040B" w:rsidP="007217EB">
            <w:pPr>
              <w:rPr>
                <w:lang w:val="en-GB"/>
              </w:rPr>
            </w:pPr>
          </w:p>
          <w:p w14:paraId="6C87EB16" w14:textId="566AD9C1" w:rsidR="00D6040B" w:rsidRPr="00866A41" w:rsidRDefault="00D6040B" w:rsidP="007217EB">
            <w:pPr>
              <w:rPr>
                <w:lang w:val="en-GB"/>
              </w:rPr>
            </w:pPr>
          </w:p>
        </w:tc>
      </w:tr>
      <w:tr w:rsidR="007217EB" w:rsidRPr="00866A41" w14:paraId="38B54FFD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4A53B3FA" w:rsidR="007217EB" w:rsidRPr="00866A41" w:rsidRDefault="007217EB" w:rsidP="007217EB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29654CD1" w:rsidR="007217EB" w:rsidRPr="00866A41" w:rsidRDefault="007217EB" w:rsidP="006518D3">
            <w:pPr>
              <w:ind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29FF1A30" w14:textId="27BE8ED4" w:rsidR="00C94776" w:rsidRPr="00C94776" w:rsidRDefault="00C94776" w:rsidP="00C94776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Definir exploração e abuso sexual (EAS), e </w:t>
            </w:r>
            <w:r w:rsidR="002D60BC">
              <w:t xml:space="preserve">de os </w:t>
            </w:r>
            <w:r w:rsidR="00B25BC4">
              <w:t>denunciar</w:t>
            </w:r>
            <w:r>
              <w:t xml:space="preserve"> ativamente</w:t>
            </w:r>
          </w:p>
          <w:p w14:paraId="3A9C6154" w14:textId="28A99B1D" w:rsidR="00C94776" w:rsidRPr="00C94776" w:rsidRDefault="00C94776" w:rsidP="00C94776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Distinguir entre assédio e abuso sexual (AAS), EAS, e violência de género (VG)/violência sexual e de género (VSG), </w:t>
            </w:r>
            <w:r w:rsidR="002D60BC">
              <w:t xml:space="preserve">reconhecendo a forma como </w:t>
            </w:r>
            <w:r>
              <w:t>estão inter-relacionados</w:t>
            </w:r>
            <w:r w:rsidR="00B25BC4">
              <w:t>,</w:t>
            </w:r>
            <w:r>
              <w:t xml:space="preserve"> mas </w:t>
            </w:r>
            <w:r w:rsidR="002D60BC">
              <w:t>necessi</w:t>
            </w:r>
            <w:r w:rsidR="00B25BC4">
              <w:t xml:space="preserve">tando </w:t>
            </w:r>
            <w:r w:rsidR="002D60BC">
              <w:t xml:space="preserve">de </w:t>
            </w:r>
            <w:r>
              <w:t>diferentes estratégias de proteção e resposta</w:t>
            </w:r>
          </w:p>
          <w:p w14:paraId="063F133B" w14:textId="7DEEED96" w:rsidR="007217EB" w:rsidRPr="006518D3" w:rsidRDefault="00C94776" w:rsidP="006518D3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Remeter outros </w:t>
            </w:r>
            <w:r w:rsidR="00B25BC4">
              <w:t xml:space="preserve">intervenientes </w:t>
            </w:r>
            <w:r>
              <w:t xml:space="preserve">para secções do Manual Esfera que </w:t>
            </w:r>
            <w:r w:rsidR="002D60BC">
              <w:t>providenciam</w:t>
            </w:r>
            <w:r>
              <w:t xml:space="preserve"> orientações sobre a PEAS</w:t>
            </w:r>
          </w:p>
          <w:p w14:paraId="3378B49A" w14:textId="026560CC" w:rsidR="006518D3" w:rsidRPr="005E4B2C" w:rsidRDefault="006518D3" w:rsidP="006518D3">
            <w:pPr>
              <w:pStyle w:val="ListParagraph"/>
              <w:ind w:left="791" w:right="183"/>
            </w:pPr>
          </w:p>
        </w:tc>
      </w:tr>
      <w:tr w:rsidR="007217EB" w:rsidRPr="00866A41" w14:paraId="2150EE1C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59EB5118" w:rsidR="007217EB" w:rsidRPr="00C94776" w:rsidRDefault="007217EB" w:rsidP="007217EB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3453E2B8" w14:textId="63C72CC8" w:rsidR="007217EB" w:rsidRPr="00866A41" w:rsidRDefault="007217EB" w:rsidP="007217EB">
            <w:r>
              <w:t>Há cinco mensagens-chave da sessão que deve</w:t>
            </w:r>
            <w:r w:rsidR="002D60BC">
              <w:t>rá</w:t>
            </w:r>
            <w:r>
              <w:t xml:space="preserve"> destacar. O objetivo é que os participantes sejam capazes de </w:t>
            </w:r>
            <w:r w:rsidR="002D60BC">
              <w:t xml:space="preserve">interiorizar </w:t>
            </w:r>
            <w:r>
              <w:t>e reafirmar estas mensagens-chave com os colegas</w:t>
            </w:r>
            <w:r w:rsidR="002D60BC">
              <w:t>,</w:t>
            </w:r>
            <w:r>
              <w:t xml:space="preserve"> após a formação.</w:t>
            </w:r>
          </w:p>
          <w:p w14:paraId="1DF5BB05" w14:textId="77777777" w:rsidR="00C94776" w:rsidRPr="00C94776" w:rsidRDefault="00C94776" w:rsidP="00C94776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O AAS ocorre em locais de trabalho de todos os setores.</w:t>
            </w:r>
          </w:p>
          <w:p w14:paraId="771462BD" w14:textId="389B3EBB" w:rsidR="00C94776" w:rsidRPr="00C94776" w:rsidRDefault="002D60BC" w:rsidP="00C94776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A</w:t>
            </w:r>
            <w:r w:rsidR="00C94776">
              <w:t xml:space="preserve"> EAS </w:t>
            </w:r>
            <w:r>
              <w:t xml:space="preserve">consiste em </w:t>
            </w:r>
            <w:r w:rsidR="00C94776">
              <w:t>qualquer abuso ou tentativa de abuso de poder ou de confiança para fins sexuais por parte de pessoas envolvidas em programas humanitários contra pessoas numa posição de vulnerabilidade.</w:t>
            </w:r>
          </w:p>
          <w:p w14:paraId="641CE824" w14:textId="36C266AC" w:rsidR="00C94776" w:rsidRPr="00C94776" w:rsidRDefault="00C94776" w:rsidP="00C94776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A VG é qualquer ato lesivo baseado em diferenças de género socialmente atribuídas. Ocorre a nível mundial devido à desigualdade entre homens e mulheres e é intensificada durante as crises.</w:t>
            </w:r>
          </w:p>
          <w:p w14:paraId="4402941B" w14:textId="6456DA6F" w:rsidR="00C94776" w:rsidRPr="00C94776" w:rsidRDefault="00C94776" w:rsidP="00C94776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O Manual Esfera inclui orientações para a proteção contra </w:t>
            </w:r>
            <w:r w:rsidR="002D60BC">
              <w:t xml:space="preserve">o </w:t>
            </w:r>
            <w:r>
              <w:t xml:space="preserve">AAS, </w:t>
            </w:r>
            <w:r w:rsidR="002D60BC">
              <w:t xml:space="preserve">a </w:t>
            </w:r>
            <w:r>
              <w:t xml:space="preserve">EAS e </w:t>
            </w:r>
            <w:r w:rsidR="002D60BC">
              <w:t xml:space="preserve">a </w:t>
            </w:r>
            <w:r>
              <w:t>VG.</w:t>
            </w:r>
          </w:p>
          <w:p w14:paraId="5D0F89C0" w14:textId="0DB0759D" w:rsidR="003329CB" w:rsidRDefault="00C94776" w:rsidP="00C94776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Os gestores devem ser responsáveis por informar o pessoal, estabelecer um padrão elevado e agir</w:t>
            </w:r>
            <w:r w:rsidR="00B25BC4">
              <w:t>,</w:t>
            </w:r>
            <w:r>
              <w:t xml:space="preserve"> </w:t>
            </w:r>
            <w:r w:rsidR="002D60BC">
              <w:t xml:space="preserve">ao serem confrontados com </w:t>
            </w:r>
            <w:r>
              <w:t>relatórios e constatações de violações.</w:t>
            </w:r>
          </w:p>
          <w:p w14:paraId="3944D94B" w14:textId="5BD031B3" w:rsidR="006518D3" w:rsidRPr="005E4B2C" w:rsidRDefault="006518D3" w:rsidP="006518D3">
            <w:pPr>
              <w:pStyle w:val="ListParagraph"/>
              <w:ind w:left="791" w:right="183"/>
            </w:pPr>
          </w:p>
        </w:tc>
      </w:tr>
    </w:tbl>
    <w:p w14:paraId="4C1F240A" w14:textId="0C47D510" w:rsidR="00A82C7E" w:rsidRDefault="00A82C7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15"/>
        <w:gridCol w:w="1101"/>
      </w:tblGrid>
      <w:tr w:rsidR="00FF45EA" w:rsidRPr="00866A41" w14:paraId="36E718FB" w14:textId="77777777" w:rsidTr="004543A7">
        <w:trPr>
          <w:trHeight w:val="350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252CBBE6" w:rsidR="00FF45EA" w:rsidRPr="00866A41" w:rsidRDefault="00FF45EA" w:rsidP="004543A7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Plano de sessão conciso (esta é uma sessão a ritmo moderado)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866A41" w:rsidRDefault="00FF45EA" w:rsidP="004543A7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:rsidRPr="00866A41" w14:paraId="1FFB11B0" w14:textId="77777777" w:rsidTr="004543A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66839C58" w:rsidR="00FF45EA" w:rsidRPr="00B24523" w:rsidRDefault="00FF45EA" w:rsidP="004543A7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Introdução e objetivos de aprendizagem</w:t>
            </w:r>
            <w:r>
              <w:t xml:space="preserve"> (diapositivos 1-2)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3627F362" w:rsidR="00FF45EA" w:rsidRPr="00866A41" w:rsidRDefault="00E424C4" w:rsidP="004543A7">
            <w:r>
              <w:t>5 min</w:t>
            </w:r>
          </w:p>
        </w:tc>
      </w:tr>
      <w:tr w:rsidR="00346CC2" w:rsidRPr="00866A41" w14:paraId="471B0E28" w14:textId="77777777" w:rsidTr="004543A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113C" w14:textId="01104F60" w:rsidR="00346CC2" w:rsidRPr="00B24523" w:rsidRDefault="009F785E" w:rsidP="004543A7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Definições de EAS, V(S)G e AAS</w:t>
            </w:r>
            <w:r>
              <w:t xml:space="preserve"> (3–9)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19EA" w14:textId="433FF8BA" w:rsidR="00346CC2" w:rsidRPr="00866A41" w:rsidRDefault="00B24523" w:rsidP="004543A7">
            <w:r>
              <w:t>20 min</w:t>
            </w:r>
          </w:p>
        </w:tc>
      </w:tr>
      <w:tr w:rsidR="00B24523" w:rsidRPr="00866A41" w14:paraId="0078D662" w14:textId="77777777" w:rsidTr="004543A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321" w14:textId="1BED15F2" w:rsidR="00B24523" w:rsidRPr="00B24523" w:rsidRDefault="00B24523" w:rsidP="00B24523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 xml:space="preserve">Onde </w:t>
            </w:r>
            <w:r w:rsidR="002D60BC">
              <w:rPr>
                <w:b/>
              </w:rPr>
              <w:t xml:space="preserve">é que </w:t>
            </w:r>
            <w:r>
              <w:rPr>
                <w:b/>
              </w:rPr>
              <w:t>ocorrem estes abusos? Parte 1</w:t>
            </w:r>
            <w:r>
              <w:t xml:space="preserve"> (10-11)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FF87" w14:textId="589B8EDB" w:rsidR="00B24523" w:rsidRDefault="00E424C4" w:rsidP="004543A7">
            <w:r>
              <w:t>5 min</w:t>
            </w:r>
          </w:p>
        </w:tc>
      </w:tr>
      <w:tr w:rsidR="00FF45EA" w:rsidRPr="00866A41" w14:paraId="098974C5" w14:textId="77777777" w:rsidTr="004543A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5F94" w14:textId="7FEB7770" w:rsidR="00FF45EA" w:rsidRPr="00B24523" w:rsidRDefault="001834FA" w:rsidP="004543A7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Vídeo extraído de “To Serve with Pride”</w:t>
            </w:r>
            <w:r w:rsidR="002D60BC">
              <w:rPr>
                <w:b/>
              </w:rPr>
              <w:t xml:space="preserve"> (Servir com orgulho)</w:t>
            </w:r>
            <w:r>
              <w:rPr>
                <w:b/>
              </w:rPr>
              <w:t xml:space="preserve"> e debate</w:t>
            </w:r>
            <w:r>
              <w:t xml:space="preserve"> (12–13)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BE61" w14:textId="23F3EDC1" w:rsidR="00FF45EA" w:rsidRPr="00866A41" w:rsidRDefault="00B24523" w:rsidP="004543A7">
            <w:r>
              <w:t>20 min</w:t>
            </w:r>
          </w:p>
        </w:tc>
      </w:tr>
      <w:tr w:rsidR="001834FA" w:rsidRPr="00866A41" w14:paraId="752A8DF2" w14:textId="77777777" w:rsidTr="004543A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5142" w14:textId="2031935D" w:rsidR="001834FA" w:rsidRPr="00B24523" w:rsidRDefault="00B24523" w:rsidP="001834FA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 xml:space="preserve">Onde </w:t>
            </w:r>
            <w:r w:rsidR="002D60BC">
              <w:rPr>
                <w:b/>
              </w:rPr>
              <w:t xml:space="preserve">é que </w:t>
            </w:r>
            <w:r>
              <w:rPr>
                <w:b/>
              </w:rPr>
              <w:t>ocorrem estes abusos? Parte 2</w:t>
            </w:r>
            <w:r>
              <w:t xml:space="preserve"> (14-18)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1370" w14:textId="2D300A99" w:rsidR="001834FA" w:rsidRDefault="00B24523" w:rsidP="001834FA">
            <w:r>
              <w:t>30 min</w:t>
            </w:r>
          </w:p>
        </w:tc>
      </w:tr>
      <w:tr w:rsidR="001834FA" w:rsidRPr="00866A41" w14:paraId="671E8805" w14:textId="77777777" w:rsidTr="004543A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BB9D" w14:textId="144C547E" w:rsidR="001834FA" w:rsidRPr="00B24523" w:rsidRDefault="006B5236" w:rsidP="001834FA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Resumo, conclusão e recursos adicionais</w:t>
            </w:r>
            <w:r>
              <w:t xml:space="preserve"> (19–22)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4576" w14:textId="2DD9ECDD" w:rsidR="001834FA" w:rsidRDefault="006B5236" w:rsidP="001834FA">
            <w:r>
              <w:t>10 min</w:t>
            </w:r>
          </w:p>
        </w:tc>
      </w:tr>
      <w:tr w:rsidR="006E610A" w:rsidRPr="00866A41" w14:paraId="69D17258" w14:textId="77777777" w:rsidTr="004543A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C57" w14:textId="4BF1792B" w:rsidR="006E610A" w:rsidRPr="00866A41" w:rsidRDefault="006E610A" w:rsidP="006E610A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Outros ficheiros e preparativos de que poderá necessitar</w:t>
            </w:r>
          </w:p>
          <w:p w14:paraId="622F4914" w14:textId="77777777" w:rsidR="00815DA6" w:rsidRDefault="00815DA6" w:rsidP="00815DA6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14CB5643" w14:textId="5744AD96" w:rsidR="006E610A" w:rsidRDefault="006E610A" w:rsidP="00815DA6">
            <w:r>
              <w:rPr>
                <w:b/>
              </w:rPr>
              <w:t xml:space="preserve">Ficheiros: </w:t>
            </w:r>
            <w:r>
              <w:t xml:space="preserve">Não existem ficheiros adicionais para este módulo - mas os </w:t>
            </w:r>
            <w:r w:rsidR="00DF15AB">
              <w:t xml:space="preserve">folhetos </w:t>
            </w:r>
            <w:r>
              <w:t xml:space="preserve">do </w:t>
            </w:r>
            <w:r>
              <w:rPr>
                <w:b/>
                <w:bCs/>
              </w:rPr>
              <w:t xml:space="preserve">STP 13 </w:t>
            </w:r>
            <w:r w:rsidR="00DF15AB" w:rsidRPr="00DF15AB">
              <w:rPr>
                <w:b/>
                <w:bCs/>
              </w:rPr>
              <w:t>Chapter Icons.docx</w:t>
            </w:r>
            <w:r w:rsidR="00DF15AB" w:rsidRPr="00DF15AB">
              <w:t xml:space="preserve"> (</w:t>
            </w:r>
            <w:r>
              <w:rPr>
                <w:b/>
                <w:bCs/>
              </w:rPr>
              <w:t>Ícones dos capítulos</w:t>
            </w:r>
            <w:r w:rsidR="00DF15AB">
              <w:rPr>
                <w:b/>
                <w:bCs/>
              </w:rPr>
              <w:t>)</w:t>
            </w:r>
            <w:r>
              <w:t xml:space="preserve"> serão úteis para a atribuição de setores técnicos aos grupos.</w:t>
            </w:r>
          </w:p>
          <w:p w14:paraId="30C0A6F2" w14:textId="37CB7EC6" w:rsidR="00B24523" w:rsidRPr="005E4B2C" w:rsidRDefault="00B24523" w:rsidP="00815DA6"/>
        </w:tc>
      </w:tr>
      <w:tr w:rsidR="00C94776" w:rsidRPr="00866A41" w14:paraId="3334DB3A" w14:textId="77777777" w:rsidTr="004543A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2071" w14:textId="77777777" w:rsidR="00DF15AB" w:rsidRDefault="00DF15AB" w:rsidP="00DF15AB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255E570F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2F3EA348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110AC9EA" w14:textId="77777777" w:rsidR="00DF15AB" w:rsidRDefault="00DF15AB" w:rsidP="00DF15AB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de os participantes realizarem uma atividade ou executarem uma competência. O ensino é mais eficaz através da prática, da aplicação direta e da repetição.</w:t>
            </w:r>
          </w:p>
          <w:p w14:paraId="65F0D7CB" w14:textId="77777777" w:rsidR="00DF15AB" w:rsidRDefault="00DF15AB" w:rsidP="00DF15AB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explicarem os conteúdos a outra pessoa.</w:t>
            </w:r>
          </w:p>
          <w:p w14:paraId="63937304" w14:textId="77777777" w:rsidR="00DF15AB" w:rsidRDefault="00DF15AB" w:rsidP="00DF15AB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incentivar, convencer e provocar, na medida do possível, a adesão do grupo.</w:t>
            </w:r>
          </w:p>
          <w:p w14:paraId="2AB04C5A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486DE1C0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3A7A6069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ficarão muito mais interessados e aprenderão mais fazendo, do que apenas ouvindo instruções de como proceder.</w:t>
            </w:r>
          </w:p>
          <w:p w14:paraId="03D177F0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Decida como irá partilhar as responsabilidades se tiver um co-formador.</w:t>
            </w:r>
          </w:p>
          <w:p w14:paraId="15F2D2DC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1F8FFCE5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lastRenderedPageBreak/>
              <w:t>Tenha um plano B (e C) para superar desafios inesperados (falha de energia, maior ou menor número de participantes do que o planeado, mudanças de sala de última hora, etc.)</w:t>
            </w:r>
          </w:p>
          <w:p w14:paraId="71E58ECB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reunião de balanço necessários. Seis grupos de quatro pessoas com cada pessoa a falar durante 2 minutos = 48 minutos, se todos falarem! Demoraria 24 minutos se um representante falasse por cada grupo durante 4 minutos.</w:t>
            </w:r>
          </w:p>
          <w:p w14:paraId="0EA3E508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40960AF2" w14:textId="77777777" w:rsidR="00DF15AB" w:rsidRPr="00DA42E4" w:rsidRDefault="00DF15AB" w:rsidP="00DF15AB">
            <w:pPr>
              <w:rPr>
                <w:b/>
              </w:rPr>
            </w:pPr>
          </w:p>
          <w:p w14:paraId="572EB1BE" w14:textId="77777777" w:rsidR="00DF15AB" w:rsidRDefault="00DF15AB" w:rsidP="00DF15AB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356598F8" w14:textId="77777777" w:rsidR="00DF15AB" w:rsidRDefault="00DF15AB" w:rsidP="00DF15AB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15AA3EDC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2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3F3A2C74" w14:textId="77777777" w:rsidR="00DF15AB" w:rsidRDefault="00DF15AB" w:rsidP="00DF15A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3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35C83043" w14:textId="77777777" w:rsidR="00DF15AB" w:rsidRPr="00DA42E4" w:rsidRDefault="00DF15AB" w:rsidP="00DF15AB">
            <w:pPr>
              <w:spacing w:line="252" w:lineRule="auto"/>
              <w:rPr>
                <w:bCs/>
              </w:rPr>
            </w:pPr>
          </w:p>
          <w:p w14:paraId="5BF0572D" w14:textId="77777777" w:rsidR="00DF15AB" w:rsidRDefault="00DF15AB" w:rsidP="00DF15AB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2E4D3536" w14:textId="77777777" w:rsidR="00DF15AB" w:rsidRDefault="00DF15AB" w:rsidP="00DF15AB">
            <w:pPr>
              <w:pStyle w:val="ListParagraph"/>
              <w:numPr>
                <w:ilvl w:val="0"/>
                <w:numId w:val="25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>STP 20 Evaluation Form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4" w:history="1">
              <w:r>
                <w:rPr>
                  <w:rStyle w:val="Hyperlink"/>
                </w:rPr>
                <w:t>https://www.surveymonkey.com/r/spheretesten</w:t>
              </w:r>
            </w:hyperlink>
            <w:r>
              <w:t xml:space="preserve">. Contacte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 para solicitar uma forma única de recolha de respostas a inquéritos (SurveyMonkey designa-o como “coletor”) ou uma versão personalizada para o seu evento.</w:t>
            </w:r>
          </w:p>
          <w:p w14:paraId="62FF269E" w14:textId="77777777" w:rsidR="00DF15AB" w:rsidRPr="00DA42E4" w:rsidRDefault="00DF15AB" w:rsidP="00DF15AB">
            <w:pPr>
              <w:spacing w:line="252" w:lineRule="auto"/>
              <w:rPr>
                <w:bCs/>
              </w:rPr>
            </w:pPr>
          </w:p>
          <w:p w14:paraId="7179589B" w14:textId="77777777" w:rsidR="00DF15AB" w:rsidRDefault="00DF15AB" w:rsidP="00DF15AB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2F04BD79" w14:textId="77777777" w:rsidR="00C94776" w:rsidRDefault="00DF15AB" w:rsidP="00DF15AB">
            <w:r>
              <w:t xml:space="preserve">Se organizou ou facilitou recentemente um workshop, envie por favor um relatório do evento para </w:t>
            </w:r>
            <w:hyperlink r:id="rId16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201144">
              <w:rPr>
                <w:b/>
                <w:bCs/>
              </w:rPr>
              <w:t>Training event report template</w:t>
            </w:r>
            <w:r>
              <w:rPr>
                <w:b/>
                <w:bCs/>
              </w:rPr>
              <w:t>.docx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</w:t>
            </w:r>
          </w:p>
          <w:p w14:paraId="3EA3F683" w14:textId="2C5AB5FF" w:rsidR="00DF15AB" w:rsidRPr="005E4B2C" w:rsidRDefault="00DF15AB" w:rsidP="00DF15AB">
            <w:pPr>
              <w:rPr>
                <w:b/>
              </w:rPr>
            </w:pPr>
          </w:p>
        </w:tc>
      </w:tr>
      <w:tr w:rsidR="006E610A" w:rsidRPr="00866A41" w14:paraId="44BDA7B2" w14:textId="77777777" w:rsidTr="004543A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1F88" w14:textId="3E1DEEB1" w:rsidR="006E610A" w:rsidRPr="00866A41" w:rsidRDefault="00B25BC4" w:rsidP="006E610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Sugestões </w:t>
            </w:r>
            <w:r w:rsidR="00C94776">
              <w:rPr>
                <w:b/>
              </w:rPr>
              <w:t>para alteração local</w:t>
            </w:r>
          </w:p>
          <w:p w14:paraId="4485679E" w14:textId="77777777" w:rsidR="006E610A" w:rsidRPr="00866A41" w:rsidRDefault="006E610A" w:rsidP="006E610A">
            <w:pPr>
              <w:rPr>
                <w:lang w:val="en-GB"/>
              </w:rPr>
            </w:pPr>
          </w:p>
          <w:p w14:paraId="05C9445D" w14:textId="63E58985" w:rsidR="006E610A" w:rsidRPr="00866A41" w:rsidRDefault="006E610A" w:rsidP="006E610A">
            <w:pPr>
              <w:pStyle w:val="ListParagraph"/>
              <w:numPr>
                <w:ilvl w:val="0"/>
                <w:numId w:val="18"/>
              </w:numPr>
            </w:pPr>
            <w:r>
              <w:t>Se não tiver acesso a eletricidade ou equipamento para apresentar diapositivos em PowerPoint, imprima os diapositivos em papel A3 com antecedência e realize a sessão como um evento ao vivo.</w:t>
            </w:r>
          </w:p>
          <w:p w14:paraId="1DA91584" w14:textId="18390E6F" w:rsidR="006E610A" w:rsidRPr="00433EBD" w:rsidRDefault="006E610A" w:rsidP="006E610A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 xml:space="preserve">Se não conseguir reproduzir o vídeo incluído durante a formação, veja-o com antecedência e apresente um ou dois dos exemplos aí descritos como estudos de caso </w:t>
            </w:r>
            <w:r>
              <w:lastRenderedPageBreak/>
              <w:t xml:space="preserve">para debate. </w:t>
            </w:r>
            <w:r w:rsidR="0090156F">
              <w:t>A reunião de balanço poderá decorrer da mesma forma</w:t>
            </w:r>
            <w:r>
              <w:t>. Tenha em atenção que uma apresentação ao vivo poderá demorar mais tempo do que o vídeo, pelo que terá de ajustar a duração da sessão em conformidade.</w:t>
            </w:r>
          </w:p>
          <w:p w14:paraId="15504D99" w14:textId="2150390B" w:rsidR="00433EBD" w:rsidRPr="005E4B2C" w:rsidRDefault="00433EBD" w:rsidP="00433EBD">
            <w:pPr>
              <w:pStyle w:val="ListParagraph"/>
              <w:rPr>
                <w:b/>
              </w:rPr>
            </w:pPr>
          </w:p>
        </w:tc>
      </w:tr>
    </w:tbl>
    <w:p w14:paraId="594D5E75" w14:textId="77777777" w:rsidR="00232CFB" w:rsidRPr="005E4B2C" w:rsidRDefault="00232CFB" w:rsidP="00FF45EA"/>
    <w:p w14:paraId="2F4DC898" w14:textId="77777777" w:rsidR="004543A7" w:rsidRPr="005E4B2C" w:rsidRDefault="004543A7" w:rsidP="00FF45EA"/>
    <w:sectPr w:rsidR="004543A7" w:rsidRPr="005E4B2C" w:rsidSect="00C72BB7">
      <w:headerReference w:type="default" r:id="rId17"/>
      <w:footerReference w:type="default" r:id="rId1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4FBF4" w14:textId="77777777" w:rsidR="0009543D" w:rsidRDefault="0009543D" w:rsidP="009F2306">
      <w:pPr>
        <w:spacing w:after="0" w:line="240" w:lineRule="auto"/>
      </w:pPr>
      <w:r>
        <w:separator/>
      </w:r>
    </w:p>
  </w:endnote>
  <w:endnote w:type="continuationSeparator" w:id="0">
    <w:p w14:paraId="51BD0D39" w14:textId="77777777" w:rsidR="0009543D" w:rsidRDefault="0009543D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674FBA" w:rsidRDefault="00674F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CBF">
          <w:t>4</w:t>
        </w:r>
        <w:r>
          <w:fldChar w:fldCharType="end"/>
        </w:r>
      </w:p>
    </w:sdtContent>
  </w:sdt>
  <w:p w14:paraId="2A6CFB20" w14:textId="77777777" w:rsidR="00674FBA" w:rsidRDefault="00674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8A0C5" w14:textId="77777777" w:rsidR="0009543D" w:rsidRDefault="0009543D" w:rsidP="009F2306">
      <w:pPr>
        <w:spacing w:after="0" w:line="240" w:lineRule="auto"/>
      </w:pPr>
      <w:r>
        <w:separator/>
      </w:r>
    </w:p>
  </w:footnote>
  <w:footnote w:type="continuationSeparator" w:id="0">
    <w:p w14:paraId="612ADF84" w14:textId="77777777" w:rsidR="0009543D" w:rsidRDefault="0009543D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436D832F" w:rsidR="00674FBA" w:rsidRDefault="00674FBA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84352" behindDoc="0" locked="0" layoutInCell="1" allowOverlap="1" wp14:anchorId="15273478" wp14:editId="305A1B79">
          <wp:simplePos x="0" y="0"/>
          <wp:positionH relativeFrom="column">
            <wp:posOffset>-480193</wp:posOffset>
          </wp:positionH>
          <wp:positionV relativeFrom="paragraph">
            <wp:posOffset>-92075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15 – Proteção contra Exploração e Abuso Sexual</w:t>
    </w:r>
  </w:p>
  <w:p w14:paraId="04454F13" w14:textId="77777777" w:rsidR="00674FBA" w:rsidRDefault="00674F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CEE"/>
    <w:multiLevelType w:val="hybridMultilevel"/>
    <w:tmpl w:val="14C65254"/>
    <w:lvl w:ilvl="0" w:tplc="B12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6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84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62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2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F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C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AE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3361E3"/>
    <w:multiLevelType w:val="hybridMultilevel"/>
    <w:tmpl w:val="C00884F4"/>
    <w:lvl w:ilvl="0" w:tplc="DA464C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9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A4C05"/>
    <w:multiLevelType w:val="hybridMultilevel"/>
    <w:tmpl w:val="54C45CA2"/>
    <w:lvl w:ilvl="0" w:tplc="12EA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27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C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2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C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3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66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CF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04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BAA1DC0"/>
    <w:multiLevelType w:val="hybridMultilevel"/>
    <w:tmpl w:val="04AE0430"/>
    <w:lvl w:ilvl="0" w:tplc="108AE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45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F07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DC8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145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164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0AA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62E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A66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D105634"/>
    <w:multiLevelType w:val="hybridMultilevel"/>
    <w:tmpl w:val="7BD88A3A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4" w15:restartNumberingAfterBreak="0">
    <w:nsid w:val="419375B1"/>
    <w:multiLevelType w:val="hybridMultilevel"/>
    <w:tmpl w:val="AB80CECE"/>
    <w:lvl w:ilvl="0" w:tplc="5FEC7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88B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7AE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E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1AC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059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5AE2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8EB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61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27D6B68"/>
    <w:multiLevelType w:val="hybridMultilevel"/>
    <w:tmpl w:val="97BEE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7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A2618"/>
    <w:multiLevelType w:val="hybridMultilevel"/>
    <w:tmpl w:val="235E52FC"/>
    <w:lvl w:ilvl="0" w:tplc="05F29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FE6E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D80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C42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E68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108A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725A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3C4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86E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CA57337"/>
    <w:multiLevelType w:val="hybridMultilevel"/>
    <w:tmpl w:val="CDB6594C"/>
    <w:lvl w:ilvl="0" w:tplc="38D228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C7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2F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E49C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4AE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8F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A27A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028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40C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E553AD3"/>
    <w:multiLevelType w:val="hybridMultilevel"/>
    <w:tmpl w:val="D0F49BF6"/>
    <w:lvl w:ilvl="0" w:tplc="925A1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78D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8C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DE0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4F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34E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8F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480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723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3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3E557F2"/>
    <w:multiLevelType w:val="hybridMultilevel"/>
    <w:tmpl w:val="3C2A801A"/>
    <w:lvl w:ilvl="0" w:tplc="E2044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C2CC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E0D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748B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24F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5E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2A79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C1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E5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7"/>
  </w:num>
  <w:num w:numId="6">
    <w:abstractNumId w:val="9"/>
  </w:num>
  <w:num w:numId="7">
    <w:abstractNumId w:val="6"/>
  </w:num>
  <w:num w:numId="8">
    <w:abstractNumId w:val="16"/>
  </w:num>
  <w:num w:numId="9">
    <w:abstractNumId w:val="25"/>
  </w:num>
  <w:num w:numId="10">
    <w:abstractNumId w:val="22"/>
  </w:num>
  <w:num w:numId="11">
    <w:abstractNumId w:val="23"/>
  </w:num>
  <w:num w:numId="12">
    <w:abstractNumId w:val="23"/>
  </w:num>
  <w:num w:numId="13">
    <w:abstractNumId w:val="4"/>
  </w:num>
  <w:num w:numId="14">
    <w:abstractNumId w:val="10"/>
  </w:num>
  <w:num w:numId="15">
    <w:abstractNumId w:val="8"/>
  </w:num>
  <w:num w:numId="16">
    <w:abstractNumId w:val="13"/>
  </w:num>
  <w:num w:numId="17">
    <w:abstractNumId w:val="26"/>
  </w:num>
  <w:num w:numId="18">
    <w:abstractNumId w:val="7"/>
  </w:num>
  <w:num w:numId="19">
    <w:abstractNumId w:val="0"/>
  </w:num>
  <w:num w:numId="20">
    <w:abstractNumId w:val="11"/>
  </w:num>
  <w:num w:numId="21">
    <w:abstractNumId w:val="14"/>
  </w:num>
  <w:num w:numId="22">
    <w:abstractNumId w:val="15"/>
  </w:num>
  <w:num w:numId="23">
    <w:abstractNumId w:val="12"/>
  </w:num>
  <w:num w:numId="24">
    <w:abstractNumId w:val="24"/>
  </w:num>
  <w:num w:numId="25">
    <w:abstractNumId w:val="18"/>
  </w:num>
  <w:num w:numId="26">
    <w:abstractNumId w:val="1"/>
  </w:num>
  <w:num w:numId="27">
    <w:abstractNumId w:val="20"/>
  </w:num>
  <w:num w:numId="28">
    <w:abstractNumId w:val="19"/>
  </w:num>
  <w:num w:numId="29">
    <w:abstractNumId w:val="21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BB7"/>
    <w:rsid w:val="00002B86"/>
    <w:rsid w:val="000127A3"/>
    <w:rsid w:val="00060439"/>
    <w:rsid w:val="00070156"/>
    <w:rsid w:val="000732A7"/>
    <w:rsid w:val="000817F8"/>
    <w:rsid w:val="0009543D"/>
    <w:rsid w:val="000966C8"/>
    <w:rsid w:val="000A73A1"/>
    <w:rsid w:val="000B71BE"/>
    <w:rsid w:val="001011C2"/>
    <w:rsid w:val="00136435"/>
    <w:rsid w:val="001368CD"/>
    <w:rsid w:val="001374BF"/>
    <w:rsid w:val="00171611"/>
    <w:rsid w:val="001833BC"/>
    <w:rsid w:val="001834FA"/>
    <w:rsid w:val="00193FCC"/>
    <w:rsid w:val="001C3CBF"/>
    <w:rsid w:val="001C4533"/>
    <w:rsid w:val="001C6EBD"/>
    <w:rsid w:val="00201CD8"/>
    <w:rsid w:val="002143EF"/>
    <w:rsid w:val="00227B4F"/>
    <w:rsid w:val="00232CFB"/>
    <w:rsid w:val="00244E9D"/>
    <w:rsid w:val="0025724E"/>
    <w:rsid w:val="0026204F"/>
    <w:rsid w:val="00265A9F"/>
    <w:rsid w:val="00295B2A"/>
    <w:rsid w:val="00297F18"/>
    <w:rsid w:val="002A5469"/>
    <w:rsid w:val="002B21A7"/>
    <w:rsid w:val="002B5158"/>
    <w:rsid w:val="002D60BC"/>
    <w:rsid w:val="002F12DB"/>
    <w:rsid w:val="002F1DDC"/>
    <w:rsid w:val="00306616"/>
    <w:rsid w:val="00330290"/>
    <w:rsid w:val="00330973"/>
    <w:rsid w:val="003329CB"/>
    <w:rsid w:val="00346CC2"/>
    <w:rsid w:val="00375A6D"/>
    <w:rsid w:val="0038333A"/>
    <w:rsid w:val="0038595E"/>
    <w:rsid w:val="003C40EB"/>
    <w:rsid w:val="003C671D"/>
    <w:rsid w:val="003E0FFC"/>
    <w:rsid w:val="003E6061"/>
    <w:rsid w:val="004050AA"/>
    <w:rsid w:val="0042225C"/>
    <w:rsid w:val="00433EBD"/>
    <w:rsid w:val="00434E9D"/>
    <w:rsid w:val="00443798"/>
    <w:rsid w:val="004543A7"/>
    <w:rsid w:val="00460B89"/>
    <w:rsid w:val="004650C3"/>
    <w:rsid w:val="00470F0F"/>
    <w:rsid w:val="00494258"/>
    <w:rsid w:val="004A6528"/>
    <w:rsid w:val="004B5F46"/>
    <w:rsid w:val="004C7786"/>
    <w:rsid w:val="00525093"/>
    <w:rsid w:val="0052566B"/>
    <w:rsid w:val="00537753"/>
    <w:rsid w:val="00584054"/>
    <w:rsid w:val="00597472"/>
    <w:rsid w:val="005C0BFB"/>
    <w:rsid w:val="005C360C"/>
    <w:rsid w:val="005E30F9"/>
    <w:rsid w:val="005E3D8C"/>
    <w:rsid w:val="005E4B2C"/>
    <w:rsid w:val="005F3ACB"/>
    <w:rsid w:val="00610958"/>
    <w:rsid w:val="00614659"/>
    <w:rsid w:val="006172F2"/>
    <w:rsid w:val="00634BF2"/>
    <w:rsid w:val="00640EE2"/>
    <w:rsid w:val="006518D3"/>
    <w:rsid w:val="00671921"/>
    <w:rsid w:val="00674FBA"/>
    <w:rsid w:val="00685F40"/>
    <w:rsid w:val="0068712F"/>
    <w:rsid w:val="00691406"/>
    <w:rsid w:val="006A14CD"/>
    <w:rsid w:val="006A63F9"/>
    <w:rsid w:val="006B5236"/>
    <w:rsid w:val="006D58CF"/>
    <w:rsid w:val="006E610A"/>
    <w:rsid w:val="006E6F05"/>
    <w:rsid w:val="006F6E15"/>
    <w:rsid w:val="007000BF"/>
    <w:rsid w:val="007217EB"/>
    <w:rsid w:val="007379D9"/>
    <w:rsid w:val="00756AE5"/>
    <w:rsid w:val="00767BF0"/>
    <w:rsid w:val="00777D91"/>
    <w:rsid w:val="007978F4"/>
    <w:rsid w:val="007E229F"/>
    <w:rsid w:val="008139CB"/>
    <w:rsid w:val="00815DA6"/>
    <w:rsid w:val="008269F5"/>
    <w:rsid w:val="008618BA"/>
    <w:rsid w:val="00866A41"/>
    <w:rsid w:val="00874633"/>
    <w:rsid w:val="008919CC"/>
    <w:rsid w:val="008B79E7"/>
    <w:rsid w:val="008C519C"/>
    <w:rsid w:val="008D2457"/>
    <w:rsid w:val="008D6174"/>
    <w:rsid w:val="008E4AEF"/>
    <w:rsid w:val="008E4CD4"/>
    <w:rsid w:val="008F4154"/>
    <w:rsid w:val="0090156F"/>
    <w:rsid w:val="00906940"/>
    <w:rsid w:val="009353D8"/>
    <w:rsid w:val="00952415"/>
    <w:rsid w:val="009938DD"/>
    <w:rsid w:val="00993D8C"/>
    <w:rsid w:val="009F1AC6"/>
    <w:rsid w:val="009F2306"/>
    <w:rsid w:val="009F785E"/>
    <w:rsid w:val="00A0170B"/>
    <w:rsid w:val="00A07B8C"/>
    <w:rsid w:val="00A11415"/>
    <w:rsid w:val="00A17BBE"/>
    <w:rsid w:val="00A249F7"/>
    <w:rsid w:val="00A317DB"/>
    <w:rsid w:val="00A353A7"/>
    <w:rsid w:val="00A438CE"/>
    <w:rsid w:val="00A46EE1"/>
    <w:rsid w:val="00A510E2"/>
    <w:rsid w:val="00A539E2"/>
    <w:rsid w:val="00A603BE"/>
    <w:rsid w:val="00A82C7E"/>
    <w:rsid w:val="00A8524D"/>
    <w:rsid w:val="00A8788C"/>
    <w:rsid w:val="00AA3F51"/>
    <w:rsid w:val="00AA493F"/>
    <w:rsid w:val="00AA699A"/>
    <w:rsid w:val="00AB4AC5"/>
    <w:rsid w:val="00AB63E3"/>
    <w:rsid w:val="00AD2D73"/>
    <w:rsid w:val="00AE320C"/>
    <w:rsid w:val="00AF1C5E"/>
    <w:rsid w:val="00AF1D1A"/>
    <w:rsid w:val="00B24523"/>
    <w:rsid w:val="00B24A55"/>
    <w:rsid w:val="00B25BC4"/>
    <w:rsid w:val="00B55BE2"/>
    <w:rsid w:val="00B67F34"/>
    <w:rsid w:val="00B722BC"/>
    <w:rsid w:val="00B9610E"/>
    <w:rsid w:val="00BA3873"/>
    <w:rsid w:val="00BB0451"/>
    <w:rsid w:val="00BB45C5"/>
    <w:rsid w:val="00BD0647"/>
    <w:rsid w:val="00BD0EA3"/>
    <w:rsid w:val="00BE5A22"/>
    <w:rsid w:val="00C109DD"/>
    <w:rsid w:val="00C24B0A"/>
    <w:rsid w:val="00C26C9C"/>
    <w:rsid w:val="00C335C2"/>
    <w:rsid w:val="00C546A1"/>
    <w:rsid w:val="00C72BB7"/>
    <w:rsid w:val="00C815F9"/>
    <w:rsid w:val="00C82511"/>
    <w:rsid w:val="00C86AF9"/>
    <w:rsid w:val="00C94776"/>
    <w:rsid w:val="00C96F7C"/>
    <w:rsid w:val="00CB6445"/>
    <w:rsid w:val="00CC09F1"/>
    <w:rsid w:val="00CD7BEB"/>
    <w:rsid w:val="00D06489"/>
    <w:rsid w:val="00D17EEC"/>
    <w:rsid w:val="00D343BF"/>
    <w:rsid w:val="00D6040B"/>
    <w:rsid w:val="00D607AA"/>
    <w:rsid w:val="00D62F8F"/>
    <w:rsid w:val="00D85F0E"/>
    <w:rsid w:val="00DA1FE3"/>
    <w:rsid w:val="00DC018E"/>
    <w:rsid w:val="00DF15AB"/>
    <w:rsid w:val="00DF4692"/>
    <w:rsid w:val="00DF6FB6"/>
    <w:rsid w:val="00E100DA"/>
    <w:rsid w:val="00E15ED1"/>
    <w:rsid w:val="00E2734E"/>
    <w:rsid w:val="00E3208F"/>
    <w:rsid w:val="00E36C50"/>
    <w:rsid w:val="00E424C4"/>
    <w:rsid w:val="00E57AE2"/>
    <w:rsid w:val="00E71220"/>
    <w:rsid w:val="00E7722B"/>
    <w:rsid w:val="00E87810"/>
    <w:rsid w:val="00EA20BE"/>
    <w:rsid w:val="00EB55B0"/>
    <w:rsid w:val="00ED4765"/>
    <w:rsid w:val="00ED5281"/>
    <w:rsid w:val="00F0412D"/>
    <w:rsid w:val="00F1200F"/>
    <w:rsid w:val="00F17127"/>
    <w:rsid w:val="00F31AE6"/>
    <w:rsid w:val="00F56DF9"/>
    <w:rsid w:val="00F82440"/>
    <w:rsid w:val="00F8536E"/>
    <w:rsid w:val="00F92881"/>
    <w:rsid w:val="00FB66E8"/>
    <w:rsid w:val="00FC19EA"/>
    <w:rsid w:val="00FD12B6"/>
    <w:rsid w:val="00FE1AFC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docId w15:val="{050A6FF9-996F-4225-98D4-69AF55D1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ED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A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A7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43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543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43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3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3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91406"/>
    <w:rPr>
      <w:color w:val="0563C1" w:themeColor="hyperlink"/>
      <w:u w:val="single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0817F8"/>
  </w:style>
  <w:style w:type="character" w:styleId="Emphasis">
    <w:name w:val="Emphasis"/>
    <w:basedOn w:val="DefaultParagraphFont"/>
    <w:uiPriority w:val="20"/>
    <w:qFormat/>
    <w:rsid w:val="00AD2D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94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165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226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251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091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142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357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229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524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2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94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7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87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974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3847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938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13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68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824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359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64">
          <w:marLeft w:val="720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138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38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835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00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8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60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urveymonkey.com/r/STP2019studiersE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urveymonkey.com/r/STP2019facilitatorsEN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learning@spherestandards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urveymonkey.com/r/spheretest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10</c:v>
                </c:pt>
                <c:pt idx="1">
                  <c:v>45</c:v>
                </c:pt>
                <c:pt idx="2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A10EAA-5347-4181-B9CB-9B49A81C5E9E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A88F1CE9-3CE7-41B5-A6E5-BB62662327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A8746B-DCFB-4025-B8C2-03CD871DF1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5A1268-DEAD-4C8D-BAAA-4936576238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1411</Words>
  <Characters>7792</Characters>
  <Application>Microsoft Office Word</Application>
  <DocSecurity>0</DocSecurity>
  <Lines>210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15 TN PSEA</dc:title>
  <dc:subject>tradução de en-pt</dc:subject>
  <dc:creator>Jim Good;Luísa Merki</dc:creator>
  <cp:keywords>2021107</cp:keywords>
  <dc:description/>
  <cp:lastModifiedBy>Luisa</cp:lastModifiedBy>
  <cp:revision>10</cp:revision>
  <dcterms:created xsi:type="dcterms:W3CDTF">2019-04-20T07:51:00Z</dcterms:created>
  <dcterms:modified xsi:type="dcterms:W3CDTF">2021-07-12T21:23:00Z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6888200</vt:r8>
  </property>
</Properties>
</file>